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432"/>
        <w:gridCol w:w="6946"/>
      </w:tblGrid>
      <w:tr w:rsidR="00CB5A6E" w:rsidRPr="00866CE7" w14:paraId="73B88214" w14:textId="77777777" w:rsidTr="00CF2081">
        <w:tc>
          <w:tcPr>
            <w:tcW w:w="3857" w:type="dxa"/>
            <w:gridSpan w:val="2"/>
            <w:shd w:val="clear" w:color="auto" w:fill="auto"/>
            <w:vAlign w:val="center"/>
          </w:tcPr>
          <w:p w14:paraId="32527E18" w14:textId="77777777" w:rsidR="00CB5A6E" w:rsidRPr="00866CE7" w:rsidRDefault="00CB5A6E" w:rsidP="008B14BD">
            <w:pPr>
              <w:jc w:val="center"/>
              <w:rPr>
                <w:b/>
                <w:bCs/>
                <w:szCs w:val="24"/>
              </w:rPr>
            </w:pPr>
            <w:r w:rsidRPr="00866CE7">
              <w:rPr>
                <w:b/>
                <w:noProof/>
                <w:spacing w:val="-10"/>
                <w:szCs w:val="24"/>
                <w:lang w:val="en-US" w:eastAsia="en-US"/>
              </w:rPr>
              <w:drawing>
                <wp:inline distT="0" distB="0" distL="0" distR="0" wp14:anchorId="6A18EB22" wp14:editId="590155D6">
                  <wp:extent cx="2609850" cy="9271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74" t="27974" r="3735" b="258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1BC3231" w14:textId="77777777" w:rsidR="00CB5A6E" w:rsidRPr="00866CE7" w:rsidRDefault="00CB5A6E" w:rsidP="008B14BD">
            <w:pPr>
              <w:ind w:left="244" w:hanging="244"/>
              <w:jc w:val="center"/>
              <w:rPr>
                <w:b/>
                <w:spacing w:val="-10"/>
                <w:sz w:val="24"/>
                <w:szCs w:val="22"/>
              </w:rPr>
            </w:pPr>
            <w:r w:rsidRPr="00866CE7">
              <w:rPr>
                <w:b/>
                <w:spacing w:val="-10"/>
                <w:sz w:val="24"/>
                <w:szCs w:val="22"/>
              </w:rPr>
              <w:t>ОБҐРУНТУВАННЯ ТЕХНІЧНИХ ТА ЯКІСНИХ ХАРАКТЕРИСТИК</w:t>
            </w:r>
          </w:p>
          <w:p w14:paraId="4BDE429D" w14:textId="77777777" w:rsidR="00CB5A6E" w:rsidRPr="00866CE7" w:rsidRDefault="00CB5A6E" w:rsidP="008B14BD">
            <w:pPr>
              <w:ind w:left="244" w:hanging="244"/>
              <w:jc w:val="center"/>
              <w:rPr>
                <w:b/>
                <w:spacing w:val="-10"/>
                <w:sz w:val="24"/>
                <w:szCs w:val="22"/>
              </w:rPr>
            </w:pPr>
            <w:r w:rsidRPr="00866CE7">
              <w:rPr>
                <w:b/>
                <w:spacing w:val="-10"/>
                <w:sz w:val="24"/>
                <w:szCs w:val="22"/>
              </w:rPr>
              <w:t>ПРЕДМЕТА ЗАКУПІВЛІ, РОЗМІРУ БЮДЖЕТНОГО ПРИЗНАЧЕННЯ, ОЧІКУВАНОЇ</w:t>
            </w:r>
          </w:p>
          <w:p w14:paraId="28AE5F72" w14:textId="77777777" w:rsidR="00CB5A6E" w:rsidRPr="00866CE7" w:rsidRDefault="00CB5A6E" w:rsidP="008B14BD">
            <w:pPr>
              <w:ind w:left="244" w:hanging="244"/>
              <w:jc w:val="center"/>
              <w:rPr>
                <w:b/>
                <w:spacing w:val="-10"/>
                <w:sz w:val="24"/>
                <w:szCs w:val="22"/>
              </w:rPr>
            </w:pPr>
            <w:r w:rsidRPr="00866CE7">
              <w:rPr>
                <w:b/>
                <w:spacing w:val="-10"/>
                <w:sz w:val="24"/>
                <w:szCs w:val="22"/>
              </w:rPr>
              <w:t>ВАРТОСТІ ПРЕДМЕТА ЗАКУПІВЛІ</w:t>
            </w:r>
          </w:p>
          <w:p w14:paraId="44906D28" w14:textId="77777777" w:rsidR="00CB5A6E" w:rsidRPr="00866CE7" w:rsidRDefault="00CB5A6E" w:rsidP="008B14BD">
            <w:pPr>
              <w:ind w:left="244" w:hanging="244"/>
              <w:jc w:val="center"/>
              <w:rPr>
                <w:sz w:val="24"/>
                <w:szCs w:val="24"/>
              </w:rPr>
            </w:pPr>
            <w:r w:rsidRPr="00866CE7">
              <w:rPr>
                <w:bCs/>
                <w:i/>
                <w:iCs/>
                <w:spacing w:val="-10"/>
                <w:sz w:val="24"/>
                <w:szCs w:val="22"/>
              </w:rPr>
              <w:t>(в порядку встановленому п.4-1 постанови КМУ від 11.10.2016 № 710  «Про ефективне використання державних коштів»)</w:t>
            </w:r>
          </w:p>
        </w:tc>
      </w:tr>
      <w:tr w:rsidR="00CB5A6E" w:rsidRPr="00866CE7" w14:paraId="2D056435" w14:textId="77777777" w:rsidTr="00CF2081">
        <w:tc>
          <w:tcPr>
            <w:tcW w:w="425" w:type="dxa"/>
            <w:shd w:val="clear" w:color="auto" w:fill="auto"/>
            <w:vAlign w:val="center"/>
          </w:tcPr>
          <w:p w14:paraId="08631E59" w14:textId="77777777" w:rsidR="00CB5A6E" w:rsidRPr="00866CE7" w:rsidRDefault="00CB5A6E" w:rsidP="008B14BD">
            <w:pPr>
              <w:rPr>
                <w:b/>
                <w:spacing w:val="-10"/>
                <w:sz w:val="22"/>
                <w:szCs w:val="22"/>
              </w:rPr>
            </w:pPr>
            <w:r w:rsidRPr="00866CE7">
              <w:rPr>
                <w:b/>
                <w:spacing w:val="-10"/>
                <w:sz w:val="22"/>
                <w:szCs w:val="22"/>
              </w:rPr>
              <w:t>1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5D8FF128" w14:textId="77777777" w:rsidR="00CB5A6E" w:rsidRPr="00866CE7" w:rsidRDefault="00CB5A6E" w:rsidP="008B14BD">
            <w:pPr>
              <w:jc w:val="center"/>
              <w:rPr>
                <w:bCs/>
                <w:i/>
                <w:iCs/>
                <w:spacing w:val="-10"/>
                <w:sz w:val="22"/>
                <w:szCs w:val="22"/>
              </w:rPr>
            </w:pPr>
            <w:r w:rsidRPr="00866CE7">
              <w:rPr>
                <w:b/>
                <w:bCs/>
                <w:sz w:val="22"/>
                <w:szCs w:val="22"/>
              </w:rPr>
              <w:t>Інформація про замовника торгів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23678A" w14:textId="77777777" w:rsidR="00CB5A6E" w:rsidRPr="00866CE7" w:rsidRDefault="00CB5A6E" w:rsidP="008B14BD">
            <w:pPr>
              <w:rPr>
                <w:sz w:val="22"/>
                <w:szCs w:val="22"/>
              </w:rPr>
            </w:pPr>
            <w:r w:rsidRPr="00866CE7">
              <w:rPr>
                <w:sz w:val="22"/>
                <w:szCs w:val="22"/>
              </w:rPr>
              <w:t>Комунальне некомерційне підприємство Київської обласної ради «Київська обласна дитяча лікарня»,</w:t>
            </w:r>
          </w:p>
          <w:p w14:paraId="47481B6F" w14:textId="77777777" w:rsidR="00CB5A6E" w:rsidRPr="00866CE7" w:rsidRDefault="00CB5A6E" w:rsidP="008B14BD">
            <w:pPr>
              <w:rPr>
                <w:sz w:val="22"/>
                <w:szCs w:val="22"/>
              </w:rPr>
            </w:pPr>
            <w:r w:rsidRPr="00866CE7">
              <w:rPr>
                <w:sz w:val="22"/>
                <w:szCs w:val="22"/>
              </w:rPr>
              <w:t xml:space="preserve"> ЄДРПОУ 01994451</w:t>
            </w:r>
          </w:p>
          <w:p w14:paraId="3451465E" w14:textId="77777777" w:rsidR="00CB5A6E" w:rsidRPr="00866CE7" w:rsidRDefault="00CB5A6E" w:rsidP="008B14BD">
            <w:pPr>
              <w:rPr>
                <w:bCs/>
                <w:i/>
                <w:iCs/>
                <w:spacing w:val="-10"/>
                <w:sz w:val="22"/>
                <w:szCs w:val="22"/>
              </w:rPr>
            </w:pPr>
            <w:r w:rsidRPr="00866CE7">
              <w:rPr>
                <w:sz w:val="22"/>
                <w:szCs w:val="22"/>
              </w:rPr>
              <w:t>Адреса:  08150, Україна, Київська обл., Боярка, вулиця  Хрещатик  будинок  83</w:t>
            </w:r>
          </w:p>
        </w:tc>
      </w:tr>
      <w:tr w:rsidR="00CB5A6E" w:rsidRPr="00866CE7" w14:paraId="26CCA8F4" w14:textId="77777777" w:rsidTr="00CF2081">
        <w:tc>
          <w:tcPr>
            <w:tcW w:w="425" w:type="dxa"/>
            <w:shd w:val="clear" w:color="auto" w:fill="auto"/>
            <w:vAlign w:val="center"/>
          </w:tcPr>
          <w:p w14:paraId="42E219D9" w14:textId="77777777" w:rsidR="00CB5A6E" w:rsidRPr="00866CE7" w:rsidRDefault="00CB5A6E" w:rsidP="008B14BD">
            <w:pPr>
              <w:rPr>
                <w:b/>
                <w:spacing w:val="-10"/>
                <w:sz w:val="22"/>
                <w:szCs w:val="22"/>
              </w:rPr>
            </w:pPr>
            <w:r w:rsidRPr="00866CE7">
              <w:rPr>
                <w:b/>
                <w:spacing w:val="-10"/>
                <w:sz w:val="22"/>
                <w:szCs w:val="22"/>
              </w:rPr>
              <w:t>2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7067671" w14:textId="77777777" w:rsidR="00CB5A6E" w:rsidRPr="00866CE7" w:rsidRDefault="00CB5A6E" w:rsidP="008B14BD">
            <w:pPr>
              <w:jc w:val="center"/>
              <w:rPr>
                <w:bCs/>
                <w:i/>
                <w:iCs/>
                <w:spacing w:val="-10"/>
                <w:sz w:val="22"/>
                <w:szCs w:val="22"/>
              </w:rPr>
            </w:pPr>
            <w:r w:rsidRPr="00866CE7">
              <w:rPr>
                <w:b/>
                <w:bCs/>
                <w:sz w:val="22"/>
                <w:szCs w:val="22"/>
              </w:rPr>
              <w:t>Назва предмета закупівлі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DFABA5F" w14:textId="77777777" w:rsidR="00CB5A6E" w:rsidRPr="00866CE7" w:rsidRDefault="00CB5A6E" w:rsidP="008B14BD">
            <w:pPr>
              <w:jc w:val="both"/>
              <w:rPr>
                <w:bCs/>
                <w:i/>
                <w:iCs/>
                <w:spacing w:val="-10"/>
                <w:sz w:val="22"/>
                <w:szCs w:val="22"/>
              </w:rPr>
            </w:pPr>
            <w:r w:rsidRPr="00866CE7">
              <w:rPr>
                <w:sz w:val="22"/>
                <w:szCs w:val="22"/>
              </w:rPr>
              <w:t xml:space="preserve">Капітальний ремонт частини хірургічного відділення (частина приміщень на 4-му поверсі головного корпусу) КНП КОР «КОДЛ» за </w:t>
            </w:r>
            <w:proofErr w:type="spellStart"/>
            <w:r w:rsidRPr="00866CE7">
              <w:rPr>
                <w:sz w:val="22"/>
                <w:szCs w:val="22"/>
              </w:rPr>
              <w:t>адресою</w:t>
            </w:r>
            <w:proofErr w:type="spellEnd"/>
            <w:r w:rsidRPr="00866CE7">
              <w:rPr>
                <w:sz w:val="22"/>
                <w:szCs w:val="22"/>
              </w:rPr>
              <w:t>: вул. Хрещатик 83, м. Боярка, Київської області (за ЄЗС ДК 021:2015 – 4545000-6 Інші завершальні будівельні роботи)</w:t>
            </w:r>
          </w:p>
        </w:tc>
      </w:tr>
      <w:tr w:rsidR="00CB5A6E" w:rsidRPr="00866CE7" w14:paraId="026CB121" w14:textId="77777777" w:rsidTr="00CF2081">
        <w:tc>
          <w:tcPr>
            <w:tcW w:w="425" w:type="dxa"/>
            <w:shd w:val="clear" w:color="auto" w:fill="auto"/>
            <w:vAlign w:val="center"/>
          </w:tcPr>
          <w:p w14:paraId="147A5556" w14:textId="77777777" w:rsidR="00CB5A6E" w:rsidRPr="00866CE7" w:rsidRDefault="00CB5A6E" w:rsidP="008B14BD">
            <w:pPr>
              <w:rPr>
                <w:b/>
                <w:spacing w:val="-10"/>
                <w:sz w:val="22"/>
                <w:szCs w:val="22"/>
              </w:rPr>
            </w:pPr>
            <w:r w:rsidRPr="00866CE7">
              <w:rPr>
                <w:b/>
                <w:spacing w:val="-10"/>
                <w:sz w:val="22"/>
                <w:szCs w:val="22"/>
              </w:rPr>
              <w:t>3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34287CAA" w14:textId="77777777" w:rsidR="00CB5A6E" w:rsidRPr="00866CE7" w:rsidRDefault="00CB5A6E" w:rsidP="008B14BD">
            <w:pPr>
              <w:jc w:val="center"/>
              <w:rPr>
                <w:bCs/>
                <w:i/>
                <w:iCs/>
                <w:spacing w:val="-10"/>
                <w:sz w:val="22"/>
                <w:szCs w:val="22"/>
              </w:rPr>
            </w:pPr>
            <w:r w:rsidRPr="00866CE7">
              <w:rPr>
                <w:b/>
                <w:bCs/>
                <w:sz w:val="22"/>
                <w:szCs w:val="22"/>
              </w:rPr>
              <w:t xml:space="preserve">Номер оголошення згідно електронної системи </w:t>
            </w:r>
            <w:proofErr w:type="spellStart"/>
            <w:r w:rsidRPr="00866CE7">
              <w:rPr>
                <w:b/>
                <w:bCs/>
                <w:sz w:val="22"/>
                <w:szCs w:val="22"/>
              </w:rPr>
              <w:t>закупівель</w:t>
            </w:r>
            <w:proofErr w:type="spellEnd"/>
          </w:p>
        </w:tc>
        <w:tc>
          <w:tcPr>
            <w:tcW w:w="6946" w:type="dxa"/>
            <w:shd w:val="clear" w:color="auto" w:fill="auto"/>
            <w:vAlign w:val="center"/>
          </w:tcPr>
          <w:p w14:paraId="104356FC" w14:textId="77777777" w:rsidR="00CB5A6E" w:rsidRPr="00CF2081" w:rsidRDefault="00357A1E" w:rsidP="008B14BD">
            <w:pPr>
              <w:rPr>
                <w:bCs/>
                <w:i/>
                <w:iCs/>
                <w:spacing w:val="-10"/>
                <w:sz w:val="22"/>
                <w:szCs w:val="22"/>
              </w:rPr>
            </w:pPr>
            <w:r w:rsidRPr="00CF2081">
              <w:rPr>
                <w:sz w:val="22"/>
                <w:szCs w:val="22"/>
              </w:rPr>
              <w:t>UA-2025-12-05-015809-a</w:t>
            </w:r>
          </w:p>
        </w:tc>
      </w:tr>
      <w:tr w:rsidR="00CB5A6E" w:rsidRPr="00866CE7" w14:paraId="0AAF58DD" w14:textId="77777777" w:rsidTr="00CF2081">
        <w:tc>
          <w:tcPr>
            <w:tcW w:w="425" w:type="dxa"/>
            <w:shd w:val="clear" w:color="auto" w:fill="auto"/>
            <w:vAlign w:val="center"/>
          </w:tcPr>
          <w:p w14:paraId="1ED3FF94" w14:textId="77777777" w:rsidR="00CB5A6E" w:rsidRPr="00866CE7" w:rsidRDefault="00CB5A6E" w:rsidP="008B14BD">
            <w:pPr>
              <w:rPr>
                <w:b/>
                <w:spacing w:val="-10"/>
                <w:sz w:val="22"/>
                <w:szCs w:val="22"/>
              </w:rPr>
            </w:pPr>
            <w:r w:rsidRPr="00866CE7">
              <w:rPr>
                <w:b/>
                <w:spacing w:val="-10"/>
                <w:sz w:val="22"/>
                <w:szCs w:val="22"/>
              </w:rPr>
              <w:t>4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46009A46" w14:textId="77777777" w:rsidR="00CB5A6E" w:rsidRPr="00866CE7" w:rsidRDefault="00CB5A6E" w:rsidP="008B14BD">
            <w:pPr>
              <w:jc w:val="center"/>
              <w:rPr>
                <w:bCs/>
                <w:i/>
                <w:iCs/>
                <w:spacing w:val="-10"/>
                <w:sz w:val="22"/>
                <w:szCs w:val="22"/>
              </w:rPr>
            </w:pPr>
            <w:r w:rsidRPr="00866CE7">
              <w:rPr>
                <w:b/>
                <w:bCs/>
                <w:sz w:val="22"/>
                <w:szCs w:val="22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02B412E" w14:textId="77777777" w:rsidR="00CB5A6E" w:rsidRPr="00CF2081" w:rsidRDefault="00CB5A6E" w:rsidP="008B14BD">
            <w:pPr>
              <w:jc w:val="both"/>
              <w:rPr>
                <w:sz w:val="22"/>
                <w:szCs w:val="22"/>
                <w:lang w:eastAsia="uk-UA"/>
              </w:rPr>
            </w:pPr>
            <w:r w:rsidRPr="00CF2081">
              <w:rPr>
                <w:sz w:val="22"/>
                <w:szCs w:val="22"/>
                <w:lang w:eastAsia="uk-UA"/>
              </w:rPr>
              <w:t xml:space="preserve">Відповідно до наявної </w:t>
            </w:r>
            <w:proofErr w:type="spellStart"/>
            <w:r w:rsidRPr="00CF2081">
              <w:rPr>
                <w:sz w:val="22"/>
                <w:szCs w:val="22"/>
                <w:lang w:eastAsia="uk-UA"/>
              </w:rPr>
              <w:t>проєктно</w:t>
            </w:r>
            <w:proofErr w:type="spellEnd"/>
            <w:r w:rsidRPr="00CF2081">
              <w:rPr>
                <w:sz w:val="22"/>
                <w:szCs w:val="22"/>
                <w:lang w:eastAsia="uk-UA"/>
              </w:rPr>
              <w:t xml:space="preserve">-кошторисної документації, капітальний ремонт </w:t>
            </w:r>
            <w:r w:rsidRPr="00CF2081">
              <w:rPr>
                <w:sz w:val="22"/>
                <w:szCs w:val="22"/>
              </w:rPr>
              <w:t>частини хірургічного відділення (частина приміщень на 4-му поверсі головного корпусу</w:t>
            </w:r>
            <w:r w:rsidRPr="00CF2081">
              <w:rPr>
                <w:sz w:val="22"/>
                <w:szCs w:val="22"/>
                <w:lang w:val="ru-RU" w:eastAsia="uk-UA"/>
              </w:rPr>
              <w:t xml:space="preserve">) </w:t>
            </w:r>
            <w:r w:rsidRPr="00CF2081">
              <w:rPr>
                <w:sz w:val="22"/>
                <w:szCs w:val="22"/>
                <w:lang w:eastAsia="uk-UA"/>
              </w:rPr>
              <w:t xml:space="preserve">зумовлений необхідністю створення якісних умов для надання медичних послуг. Технічні </w:t>
            </w:r>
            <w:r w:rsidRPr="00CF2081">
              <w:rPr>
                <w:sz w:val="22"/>
                <w:szCs w:val="22"/>
              </w:rPr>
              <w:t xml:space="preserve">та якісні </w:t>
            </w:r>
            <w:r w:rsidRPr="00CF2081">
              <w:rPr>
                <w:sz w:val="22"/>
                <w:szCs w:val="22"/>
                <w:lang w:eastAsia="uk-UA"/>
              </w:rPr>
              <w:t xml:space="preserve">характеристики закупівлі сформовані відповідно до чинних нормативів, потреб експлуатації та функціонального призначення приміщень та на </w:t>
            </w:r>
            <w:r w:rsidRPr="00CF2081">
              <w:rPr>
                <w:sz w:val="22"/>
                <w:szCs w:val="22"/>
              </w:rPr>
              <w:t xml:space="preserve">підставі </w:t>
            </w:r>
            <w:proofErr w:type="spellStart"/>
            <w:r w:rsidRPr="00CF2081">
              <w:rPr>
                <w:sz w:val="22"/>
                <w:szCs w:val="22"/>
              </w:rPr>
              <w:t>проєктно</w:t>
            </w:r>
            <w:proofErr w:type="spellEnd"/>
            <w:r w:rsidRPr="00CF2081">
              <w:rPr>
                <w:sz w:val="22"/>
                <w:szCs w:val="22"/>
              </w:rPr>
              <w:t xml:space="preserve">-кошторисної документації по об’єкту: «Капітальний ремонт частини хірургічного відділення (частина приміщень на 4-му поверсі головного корпусу) КНП КОР «КОДЛ» за </w:t>
            </w:r>
            <w:proofErr w:type="spellStart"/>
            <w:r w:rsidRPr="00CF2081">
              <w:rPr>
                <w:sz w:val="22"/>
                <w:szCs w:val="22"/>
              </w:rPr>
              <w:t>адресою</w:t>
            </w:r>
            <w:proofErr w:type="spellEnd"/>
            <w:r w:rsidRPr="00CF2081">
              <w:rPr>
                <w:sz w:val="22"/>
                <w:szCs w:val="22"/>
              </w:rPr>
              <w:t>: вул. Хрещатик 83,  м. Боярка, Київської області (за ЄЗС ДК 021:2015 – 4545000-6 Інші завершальні будівельні роботи) що пройшла експертизу.</w:t>
            </w:r>
          </w:p>
          <w:p w14:paraId="36703BB5" w14:textId="77777777" w:rsidR="00CB5A6E" w:rsidRPr="00CF2081" w:rsidRDefault="00CB5A6E" w:rsidP="008B14BD">
            <w:pPr>
              <w:jc w:val="both"/>
              <w:rPr>
                <w:bCs/>
                <w:i/>
                <w:iCs/>
                <w:spacing w:val="-10"/>
                <w:sz w:val="22"/>
                <w:szCs w:val="22"/>
              </w:rPr>
            </w:pPr>
            <w:r w:rsidRPr="00CF2081">
              <w:rPr>
                <w:sz w:val="22"/>
                <w:szCs w:val="22"/>
              </w:rPr>
              <w:t>Експертний  звіт (По</w:t>
            </w:r>
            <w:r w:rsidR="00801FBF" w:rsidRPr="00CF2081">
              <w:rPr>
                <w:sz w:val="22"/>
                <w:szCs w:val="22"/>
              </w:rPr>
              <w:t xml:space="preserve">зитивний), реєстраційний номер </w:t>
            </w:r>
            <w:r w:rsidRPr="00CF2081">
              <w:rPr>
                <w:sz w:val="22"/>
                <w:szCs w:val="22"/>
              </w:rPr>
              <w:t xml:space="preserve">EX01:8725-1824-9218-1780, експертний звіт № 858/25-РБК/ЕЗ </w:t>
            </w:r>
            <w:r w:rsidRPr="00CF2081">
              <w:rPr>
                <w:sz w:val="22"/>
                <w:szCs w:val="22"/>
                <w:lang w:val="ru-RU"/>
              </w:rPr>
              <w:t xml:space="preserve"> </w:t>
            </w:r>
            <w:r w:rsidRPr="00CF2081">
              <w:rPr>
                <w:sz w:val="22"/>
                <w:szCs w:val="22"/>
              </w:rPr>
              <w:t>від 2</w:t>
            </w:r>
            <w:r w:rsidRPr="00CF2081">
              <w:rPr>
                <w:sz w:val="22"/>
                <w:szCs w:val="22"/>
                <w:lang w:val="ru-RU"/>
              </w:rPr>
              <w:t>5 верес</w:t>
            </w:r>
            <w:r w:rsidRPr="00CF2081">
              <w:rPr>
                <w:sz w:val="22"/>
                <w:szCs w:val="22"/>
              </w:rPr>
              <w:t xml:space="preserve">ня 2025 року. </w:t>
            </w:r>
          </w:p>
        </w:tc>
      </w:tr>
      <w:tr w:rsidR="00CB5A6E" w:rsidRPr="00866CE7" w14:paraId="6CBED005" w14:textId="77777777" w:rsidTr="00CF2081">
        <w:tc>
          <w:tcPr>
            <w:tcW w:w="425" w:type="dxa"/>
            <w:shd w:val="clear" w:color="auto" w:fill="auto"/>
            <w:vAlign w:val="center"/>
          </w:tcPr>
          <w:p w14:paraId="03F0BC0E" w14:textId="77777777" w:rsidR="00CB5A6E" w:rsidRPr="00866CE7" w:rsidRDefault="00CB5A6E" w:rsidP="008B14BD">
            <w:pPr>
              <w:jc w:val="both"/>
              <w:rPr>
                <w:b/>
                <w:spacing w:val="-10"/>
                <w:sz w:val="22"/>
                <w:szCs w:val="22"/>
              </w:rPr>
            </w:pPr>
            <w:r w:rsidRPr="00866CE7">
              <w:rPr>
                <w:b/>
                <w:spacing w:val="-10"/>
                <w:sz w:val="22"/>
                <w:szCs w:val="22"/>
              </w:rPr>
              <w:t>5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456B072E" w14:textId="77777777" w:rsidR="00CB5A6E" w:rsidRPr="00866CE7" w:rsidRDefault="00CB5A6E" w:rsidP="008B14BD">
            <w:pPr>
              <w:jc w:val="both"/>
              <w:rPr>
                <w:bCs/>
                <w:i/>
                <w:iCs/>
                <w:spacing w:val="-10"/>
                <w:sz w:val="22"/>
                <w:szCs w:val="22"/>
              </w:rPr>
            </w:pPr>
            <w:r w:rsidRPr="00866CE7">
              <w:rPr>
                <w:b/>
                <w:bCs/>
                <w:sz w:val="22"/>
                <w:szCs w:val="22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5FF3BFD" w14:textId="77777777" w:rsidR="00CB5A6E" w:rsidRPr="00CF2081" w:rsidRDefault="00CB5A6E" w:rsidP="008B14BD">
            <w:pPr>
              <w:jc w:val="both"/>
              <w:rPr>
                <w:sz w:val="22"/>
                <w:szCs w:val="22"/>
              </w:rPr>
            </w:pPr>
            <w:r w:rsidRPr="00CF2081">
              <w:rPr>
                <w:sz w:val="22"/>
                <w:szCs w:val="22"/>
              </w:rPr>
              <w:t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 (зі змінами), зокрема з урахуванням видів та обсягів робіт, що планується закупити, з урахуванням вимог Наказу Міністерства розвитку громад на території України №</w:t>
            </w:r>
            <w:r w:rsidR="00801FBF" w:rsidRPr="00CF2081">
              <w:rPr>
                <w:sz w:val="22"/>
                <w:szCs w:val="22"/>
              </w:rPr>
              <w:t xml:space="preserve"> </w:t>
            </w:r>
            <w:r w:rsidRPr="00CF2081">
              <w:rPr>
                <w:sz w:val="22"/>
                <w:szCs w:val="22"/>
              </w:rPr>
              <w:t>281 від 01.11.2021 «Про затвердження кошторисних норм України у будівництві».</w:t>
            </w:r>
          </w:p>
          <w:p w14:paraId="1BAD2F4E" w14:textId="77777777" w:rsidR="00CB5A6E" w:rsidRPr="00CF2081" w:rsidRDefault="00CB5A6E" w:rsidP="008B14BD">
            <w:pPr>
              <w:jc w:val="both"/>
              <w:rPr>
                <w:sz w:val="22"/>
                <w:szCs w:val="22"/>
              </w:rPr>
            </w:pPr>
            <w:r w:rsidRPr="00CF2081">
              <w:rPr>
                <w:sz w:val="22"/>
                <w:szCs w:val="22"/>
              </w:rPr>
              <w:t xml:space="preserve">На підставі зведеного кошторисного розрахунку по об’єкту  «Капітальний ремонт частини хірургічного відділення (частина приміщень на 4-му поверсі головного корпусу) КНП КОР «КОДЛ» за </w:t>
            </w:r>
            <w:proofErr w:type="spellStart"/>
            <w:r w:rsidRPr="00CF2081">
              <w:rPr>
                <w:sz w:val="22"/>
                <w:szCs w:val="22"/>
              </w:rPr>
              <w:t>адресою</w:t>
            </w:r>
            <w:proofErr w:type="spellEnd"/>
            <w:r w:rsidRPr="00CF2081">
              <w:rPr>
                <w:sz w:val="22"/>
                <w:szCs w:val="22"/>
              </w:rPr>
              <w:t>: вул. Хрещатик 83, м. Боярка, Київської області» (за ЄЗС ДК 021:2015 – 4545000-6 Інші завершальні будівельні роботи) очікувана вартість робіт складає: 53262014,00 грн з ПДВ.</w:t>
            </w:r>
          </w:p>
          <w:p w14:paraId="5DFC875F" w14:textId="77777777" w:rsidR="00CB5A6E" w:rsidRPr="00CF2081" w:rsidRDefault="00CB5A6E" w:rsidP="008B14BD">
            <w:pPr>
              <w:jc w:val="both"/>
              <w:rPr>
                <w:sz w:val="22"/>
                <w:szCs w:val="22"/>
              </w:rPr>
            </w:pPr>
            <w:r w:rsidRPr="00CF2081">
              <w:rPr>
                <w:sz w:val="22"/>
                <w:szCs w:val="22"/>
              </w:rPr>
              <w:t>Очікувана вартість робіт за виключенням коштів вартості проектних робіт, експертизи проектної документації, коштів на здійснення  технічного нагляду та авторського нагляду, становить:  51</w:t>
            </w:r>
            <w:r w:rsidR="00801FBF" w:rsidRPr="00CF2081">
              <w:rPr>
                <w:sz w:val="22"/>
                <w:szCs w:val="22"/>
                <w:lang w:val="ru-RU"/>
              </w:rPr>
              <w:t xml:space="preserve"> </w:t>
            </w:r>
            <w:r w:rsidRPr="00CF2081">
              <w:rPr>
                <w:sz w:val="22"/>
                <w:szCs w:val="22"/>
              </w:rPr>
              <w:t>943</w:t>
            </w:r>
            <w:r w:rsidR="00801FBF" w:rsidRPr="00CF2081">
              <w:rPr>
                <w:sz w:val="22"/>
                <w:szCs w:val="22"/>
                <w:lang w:val="ru-RU"/>
              </w:rPr>
              <w:t xml:space="preserve"> </w:t>
            </w:r>
            <w:r w:rsidRPr="00CF2081">
              <w:rPr>
                <w:sz w:val="22"/>
                <w:szCs w:val="22"/>
              </w:rPr>
              <w:t>732,00 грн. з ПДВ.</w:t>
            </w:r>
          </w:p>
          <w:p w14:paraId="3BE21EA7" w14:textId="77777777" w:rsidR="00CB5A6E" w:rsidRPr="00CF2081" w:rsidRDefault="00CB5A6E" w:rsidP="008B14BD">
            <w:pPr>
              <w:jc w:val="both"/>
              <w:rPr>
                <w:bCs/>
                <w:i/>
                <w:iCs/>
                <w:spacing w:val="-10"/>
                <w:sz w:val="22"/>
                <w:szCs w:val="22"/>
              </w:rPr>
            </w:pPr>
            <w:r w:rsidRPr="00CF2081">
              <w:rPr>
                <w:bCs/>
                <w:sz w:val="22"/>
                <w:szCs w:val="22"/>
              </w:rPr>
              <w:t xml:space="preserve">Закупівля здійснюється в рамках виконання заходів Плану України, що схвалений для реалізації фінансування Європейського Союзу для України згідно з інструментом </w:t>
            </w:r>
            <w:proofErr w:type="spellStart"/>
            <w:r w:rsidRPr="00CF2081">
              <w:rPr>
                <w:bCs/>
                <w:sz w:val="22"/>
                <w:szCs w:val="22"/>
              </w:rPr>
              <w:t>Ukraine</w:t>
            </w:r>
            <w:proofErr w:type="spellEnd"/>
            <w:r w:rsidRPr="00CF208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F2081">
              <w:rPr>
                <w:bCs/>
                <w:sz w:val="22"/>
                <w:szCs w:val="22"/>
              </w:rPr>
              <w:t>Facility</w:t>
            </w:r>
            <w:proofErr w:type="spellEnd"/>
            <w:r w:rsidRPr="00CF2081">
              <w:rPr>
                <w:bCs/>
                <w:sz w:val="22"/>
                <w:szCs w:val="22"/>
              </w:rPr>
              <w:t xml:space="preserve"> </w:t>
            </w:r>
            <w:r w:rsidRPr="00CF2081">
              <w:rPr>
                <w:spacing w:val="-2"/>
                <w:sz w:val="22"/>
                <w:szCs w:val="22"/>
              </w:rPr>
              <w:t xml:space="preserve">(далі - інструмент </w:t>
            </w:r>
            <w:proofErr w:type="spellStart"/>
            <w:r w:rsidRPr="00CF2081">
              <w:rPr>
                <w:spacing w:val="-2"/>
                <w:sz w:val="22"/>
                <w:szCs w:val="22"/>
              </w:rPr>
              <w:t>Ukraine</w:t>
            </w:r>
            <w:proofErr w:type="spellEnd"/>
            <w:r w:rsidRPr="00CF2081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F2081">
              <w:rPr>
                <w:spacing w:val="-2"/>
                <w:sz w:val="22"/>
                <w:szCs w:val="22"/>
              </w:rPr>
              <w:t>Facility</w:t>
            </w:r>
            <w:proofErr w:type="spellEnd"/>
            <w:r w:rsidRPr="00CF2081">
              <w:rPr>
                <w:spacing w:val="-2"/>
                <w:sz w:val="22"/>
                <w:szCs w:val="22"/>
              </w:rPr>
              <w:t>)</w:t>
            </w:r>
            <w:r w:rsidRPr="00CF2081">
              <w:rPr>
                <w:bCs/>
                <w:sz w:val="22"/>
                <w:szCs w:val="22"/>
              </w:rPr>
              <w:t xml:space="preserve">, передбаченого Рамковою Угодою укладеною між Україною та Європейським Союзом щодо спеціальних механізмів реалізації фінансування Союзу для України згідно з інструментом </w:t>
            </w:r>
            <w:proofErr w:type="spellStart"/>
            <w:r w:rsidRPr="00CF2081">
              <w:rPr>
                <w:bCs/>
                <w:sz w:val="22"/>
                <w:szCs w:val="22"/>
              </w:rPr>
              <w:t>Ukraine</w:t>
            </w:r>
            <w:proofErr w:type="spellEnd"/>
            <w:r w:rsidRPr="00CF208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F2081">
              <w:rPr>
                <w:bCs/>
                <w:sz w:val="22"/>
                <w:szCs w:val="22"/>
              </w:rPr>
              <w:t>Facility</w:t>
            </w:r>
            <w:proofErr w:type="spellEnd"/>
            <w:r w:rsidRPr="00CF2081">
              <w:rPr>
                <w:bCs/>
                <w:sz w:val="22"/>
                <w:szCs w:val="22"/>
              </w:rPr>
              <w:t>, ратифікованою Законом України від 06.06.2024 № 3786-IX.</w:t>
            </w:r>
          </w:p>
        </w:tc>
      </w:tr>
    </w:tbl>
    <w:p w14:paraId="6F3F4A79" w14:textId="77777777" w:rsidR="0054004C" w:rsidRDefault="0054004C"/>
    <w:sectPr w:rsidR="0054004C" w:rsidSect="00866CE7">
      <w:pgSz w:w="12240" w:h="15840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6D0"/>
    <w:rsid w:val="000A66D0"/>
    <w:rsid w:val="00357A1E"/>
    <w:rsid w:val="0054004C"/>
    <w:rsid w:val="00801FBF"/>
    <w:rsid w:val="00866CE7"/>
    <w:rsid w:val="00CB5A6E"/>
    <w:rsid w:val="00CF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B1E91"/>
  <w15:chartTrackingRefBased/>
  <w15:docId w15:val="{8A0FF75A-E766-4970-A2B6-3F7F51C0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2130</Words>
  <Characters>1215</Characters>
  <Application>Microsoft Office Word</Application>
  <DocSecurity>0</DocSecurity>
  <Lines>10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Lida</cp:lastModifiedBy>
  <cp:revision>2</cp:revision>
  <dcterms:created xsi:type="dcterms:W3CDTF">2025-12-05T15:44:00Z</dcterms:created>
  <dcterms:modified xsi:type="dcterms:W3CDTF">2025-12-05T15:44:00Z</dcterms:modified>
</cp:coreProperties>
</file>